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E992B3" w14:textId="77777777" w:rsidR="003577A8" w:rsidRPr="00B149B9" w:rsidRDefault="003577A8" w:rsidP="00B149B9">
      <w:pPr>
        <w:pStyle w:val="NoSpacing"/>
        <w:spacing w:line="480" w:lineRule="auto"/>
      </w:pPr>
      <w:bookmarkStart w:id="0" w:name="_Hlk41822105"/>
      <w:bookmarkEnd w:id="0"/>
    </w:p>
    <w:p w14:paraId="71A22C67" w14:textId="77777777" w:rsidR="00E07377" w:rsidRPr="00B149B9" w:rsidRDefault="00E07377" w:rsidP="00B149B9">
      <w:pPr>
        <w:pStyle w:val="NoSpacing"/>
        <w:spacing w:line="480" w:lineRule="auto"/>
      </w:pPr>
    </w:p>
    <w:p w14:paraId="6FA1B419" w14:textId="77777777" w:rsidR="00E07377" w:rsidRPr="00B149B9" w:rsidRDefault="00E07377" w:rsidP="00B149B9">
      <w:pPr>
        <w:pStyle w:val="NoSpacing"/>
        <w:spacing w:line="480" w:lineRule="auto"/>
      </w:pPr>
    </w:p>
    <w:p w14:paraId="3EAC8CED" w14:textId="77777777" w:rsidR="00E07377" w:rsidRPr="00B149B9" w:rsidRDefault="00E07377" w:rsidP="00B149B9">
      <w:pPr>
        <w:pStyle w:val="NoSpacing"/>
        <w:spacing w:line="480" w:lineRule="auto"/>
      </w:pPr>
    </w:p>
    <w:p w14:paraId="3383BF19" w14:textId="77777777" w:rsidR="00E07377" w:rsidRPr="00B149B9" w:rsidRDefault="00E07377" w:rsidP="00B149B9">
      <w:pPr>
        <w:pStyle w:val="NoSpacing"/>
        <w:spacing w:line="480" w:lineRule="auto"/>
      </w:pPr>
    </w:p>
    <w:p w14:paraId="1BEB390D" w14:textId="77777777" w:rsidR="00E07377" w:rsidRPr="00B149B9" w:rsidRDefault="00E07377" w:rsidP="00B149B9">
      <w:pPr>
        <w:pStyle w:val="NoSpacing"/>
        <w:spacing w:line="480" w:lineRule="auto"/>
      </w:pPr>
    </w:p>
    <w:p w14:paraId="387BFD71" w14:textId="77777777" w:rsidR="00E07377" w:rsidRPr="00B149B9" w:rsidRDefault="00E07377" w:rsidP="00B149B9">
      <w:pPr>
        <w:pStyle w:val="NoSpacing"/>
        <w:spacing w:line="480" w:lineRule="auto"/>
      </w:pPr>
    </w:p>
    <w:p w14:paraId="0432A7C4" w14:textId="77777777" w:rsidR="00E07377" w:rsidRPr="00B149B9" w:rsidRDefault="00E07377" w:rsidP="00B149B9">
      <w:pPr>
        <w:pStyle w:val="NoSpacing"/>
        <w:spacing w:line="480" w:lineRule="auto"/>
      </w:pPr>
    </w:p>
    <w:p w14:paraId="02E3859C" w14:textId="77777777" w:rsidR="00E07377" w:rsidRPr="00B149B9" w:rsidRDefault="00E07377" w:rsidP="00B149B9">
      <w:pPr>
        <w:pStyle w:val="NoSpacing"/>
        <w:spacing w:line="480" w:lineRule="auto"/>
      </w:pPr>
    </w:p>
    <w:p w14:paraId="4BA0ECFA" w14:textId="77777777" w:rsidR="00E07377" w:rsidRPr="00B149B9" w:rsidRDefault="00E07377" w:rsidP="00B149B9">
      <w:pPr>
        <w:pStyle w:val="NoSpacing"/>
        <w:spacing w:line="480" w:lineRule="auto"/>
      </w:pPr>
    </w:p>
    <w:p w14:paraId="39F36945" w14:textId="4080AE5D" w:rsidR="00E07377" w:rsidRDefault="00E07377" w:rsidP="00B149B9">
      <w:pPr>
        <w:pStyle w:val="NoSpacing"/>
        <w:spacing w:line="480" w:lineRule="auto"/>
      </w:pPr>
    </w:p>
    <w:p w14:paraId="23AE07DE" w14:textId="6670A092" w:rsidR="00BF39BA" w:rsidRDefault="00BF39BA" w:rsidP="00B149B9">
      <w:pPr>
        <w:pStyle w:val="NoSpacing"/>
        <w:spacing w:line="480" w:lineRule="auto"/>
      </w:pPr>
    </w:p>
    <w:p w14:paraId="09CCE17A" w14:textId="77777777" w:rsidR="00BF39BA" w:rsidRPr="00B149B9" w:rsidRDefault="00BF39BA" w:rsidP="00B149B9">
      <w:pPr>
        <w:pStyle w:val="NoSpacing"/>
        <w:spacing w:line="480" w:lineRule="auto"/>
      </w:pPr>
    </w:p>
    <w:p w14:paraId="70ABE7F3" w14:textId="519A3619" w:rsidR="00E07377" w:rsidRPr="00B149B9" w:rsidRDefault="00E07377" w:rsidP="00B149B9">
      <w:pPr>
        <w:pStyle w:val="NoSpacing"/>
        <w:spacing w:line="480" w:lineRule="auto"/>
      </w:pPr>
    </w:p>
    <w:p w14:paraId="5CC9EA2E" w14:textId="3C0EC022" w:rsidR="00165D52" w:rsidRDefault="00165D52" w:rsidP="00BF39BA">
      <w:pPr>
        <w:pStyle w:val="NoSpacing"/>
        <w:spacing w:line="480" w:lineRule="auto"/>
        <w:jc w:val="center"/>
      </w:pPr>
      <w:r>
        <w:t>C</w:t>
      </w:r>
      <w:r w:rsidRPr="00165D52">
        <w:t>apstone Case Study</w:t>
      </w:r>
    </w:p>
    <w:p w14:paraId="228D48EE" w14:textId="55955425" w:rsidR="003577A8" w:rsidRPr="00B149B9" w:rsidRDefault="003577A8" w:rsidP="00BF39BA">
      <w:pPr>
        <w:pStyle w:val="NoSpacing"/>
        <w:spacing w:line="480" w:lineRule="auto"/>
        <w:jc w:val="center"/>
      </w:pPr>
      <w:r w:rsidRPr="00B149B9">
        <w:t>Student’s Name</w:t>
      </w:r>
    </w:p>
    <w:p w14:paraId="22B287A8" w14:textId="4215BE56" w:rsidR="007366E2" w:rsidRDefault="003577A8" w:rsidP="00BF39BA">
      <w:pPr>
        <w:pStyle w:val="NoSpacing"/>
        <w:spacing w:line="480" w:lineRule="auto"/>
        <w:jc w:val="center"/>
      </w:pPr>
      <w:r w:rsidRPr="00B149B9">
        <w:t>Institutional Affiliation</w:t>
      </w:r>
    </w:p>
    <w:p w14:paraId="25379F85" w14:textId="77777777" w:rsidR="00165D52" w:rsidRPr="00C727E7" w:rsidRDefault="007366E2" w:rsidP="00165D52">
      <w:pPr>
        <w:tabs>
          <w:tab w:val="left" w:pos="2625"/>
          <w:tab w:val="center" w:pos="4680"/>
        </w:tabs>
        <w:rPr>
          <w:b/>
        </w:rPr>
      </w:pPr>
      <w:r>
        <w:br w:type="page"/>
      </w:r>
      <w:r w:rsidR="00165D52" w:rsidRPr="00C727E7">
        <w:rPr>
          <w:b/>
        </w:rPr>
        <w:lastRenderedPageBreak/>
        <w:tab/>
        <w:t>CAPSTONE: CASE STUDY ESSAY</w:t>
      </w:r>
    </w:p>
    <w:p w14:paraId="61EF6D1C" w14:textId="77777777" w:rsidR="00165D52" w:rsidRPr="00C727E7" w:rsidRDefault="00165D52" w:rsidP="00165D52">
      <w:pPr>
        <w:rPr>
          <w:b/>
        </w:rPr>
      </w:pPr>
      <w:r w:rsidRPr="00C727E7">
        <w:rPr>
          <w:b/>
        </w:rPr>
        <w:t>Assess the likelihood of public disorder offences at Riyadh Season events and develop a plan for the Ministry of Interior that:</w:t>
      </w:r>
    </w:p>
    <w:p w14:paraId="3939A310" w14:textId="77777777" w:rsidR="00165D52" w:rsidRPr="00C727E7" w:rsidRDefault="00165D52" w:rsidP="00165D52">
      <w:pPr>
        <w:pStyle w:val="ListParagraph"/>
        <w:numPr>
          <w:ilvl w:val="0"/>
          <w:numId w:val="17"/>
        </w:numPr>
        <w:rPr>
          <w:b/>
        </w:rPr>
      </w:pPr>
      <w:r w:rsidRPr="00C727E7">
        <w:rPr>
          <w:b/>
        </w:rPr>
        <w:t>responds to this threat by covering prevention, mitigation and response</w:t>
      </w:r>
    </w:p>
    <w:p w14:paraId="7331791F" w14:textId="77777777" w:rsidR="00165D52" w:rsidRPr="00C727E7" w:rsidRDefault="00165D52" w:rsidP="00165D52">
      <w:pPr>
        <w:pStyle w:val="ListParagraph"/>
        <w:numPr>
          <w:ilvl w:val="0"/>
          <w:numId w:val="17"/>
        </w:numPr>
        <w:rPr>
          <w:b/>
        </w:rPr>
      </w:pPr>
      <w:r w:rsidRPr="00C727E7">
        <w:rPr>
          <w:b/>
        </w:rPr>
        <w:t>utilizes international best practices,</w:t>
      </w:r>
    </w:p>
    <w:p w14:paraId="4C009212" w14:textId="77777777" w:rsidR="00165D52" w:rsidRPr="00C727E7" w:rsidRDefault="00165D52" w:rsidP="00165D52">
      <w:pPr>
        <w:pStyle w:val="ListParagraph"/>
        <w:numPr>
          <w:ilvl w:val="0"/>
          <w:numId w:val="17"/>
        </w:numPr>
        <w:rPr>
          <w:b/>
        </w:rPr>
      </w:pPr>
      <w:r w:rsidRPr="00C727E7">
        <w:rPr>
          <w:b/>
        </w:rPr>
        <w:t>Is consistent with the ethical and legal responsibilities of security officers.</w:t>
      </w:r>
    </w:p>
    <w:p w14:paraId="47553B6C" w14:textId="77777777" w:rsidR="00165D52" w:rsidRPr="00165D52" w:rsidRDefault="00165D52" w:rsidP="00165D52">
      <w:pPr>
        <w:ind w:firstLine="0"/>
        <w:rPr>
          <w:b/>
        </w:rPr>
      </w:pPr>
      <w:r w:rsidRPr="00165D52">
        <w:rPr>
          <w:b/>
        </w:rPr>
        <w:t>Introduction</w:t>
      </w:r>
    </w:p>
    <w:p w14:paraId="2BD58B1B" w14:textId="77777777" w:rsidR="00165D52" w:rsidRDefault="00165D52" w:rsidP="00165D52">
      <w:r>
        <w:t>The Riyadh seasonal event is a festive that is organized by the Saudi Entertainment Authority whose aim is to tap into the tourist who come to Saudi Arabia. The festive is part of what known as the Saudi-Seasons. The following report will aid the ministry the ministry of interior in coming up with a plan to combat terrorism activities that may disrupt the festive. Since the turn of the century, the kingdom of Saudi Arabia has been stepping up terrorism and counter terrorism efforts. These efforts have been as a result of radical terrorist groups that attack the contemporary Saudi Arabian society including the Shia minority (</w:t>
      </w:r>
      <w:proofErr w:type="spellStart"/>
      <w:r>
        <w:t>Qurtuby</w:t>
      </w:r>
      <w:proofErr w:type="spellEnd"/>
      <w:r>
        <w:t xml:space="preserve">, &amp; </w:t>
      </w:r>
      <w:proofErr w:type="spellStart"/>
      <w:r>
        <w:t>Aldamer</w:t>
      </w:r>
      <w:proofErr w:type="spellEnd"/>
      <w:r>
        <w:t xml:space="preserve">, </w:t>
      </w:r>
      <w:r w:rsidRPr="00236152">
        <w:t>2020).</w:t>
      </w:r>
      <w:r>
        <w:t xml:space="preserve"> Threats of terrorism activities have not stopped ever since, as there are some radicalized sects which target not only mosques but also state buildings, military personnel, state officers and some select industries.</w:t>
      </w:r>
      <w:r w:rsidRPr="00236152">
        <w:t xml:space="preserve"> </w:t>
      </w:r>
      <w:r>
        <w:t>(</w:t>
      </w:r>
      <w:proofErr w:type="spellStart"/>
      <w:r>
        <w:t>Qurtuby</w:t>
      </w:r>
      <w:proofErr w:type="spellEnd"/>
      <w:r>
        <w:t xml:space="preserve">, &amp; </w:t>
      </w:r>
      <w:proofErr w:type="spellStart"/>
      <w:r>
        <w:t>Aldamer</w:t>
      </w:r>
      <w:proofErr w:type="spellEnd"/>
      <w:r>
        <w:t xml:space="preserve">, </w:t>
      </w:r>
      <w:r w:rsidRPr="00236152">
        <w:t>2020).</w:t>
      </w:r>
      <w:r>
        <w:t xml:space="preserve">  </w:t>
      </w:r>
    </w:p>
    <w:p w14:paraId="3A4661BA" w14:textId="77777777" w:rsidR="00165D52" w:rsidRPr="00FD78A0" w:rsidRDefault="00165D52" w:rsidP="00165D52">
      <w:pPr>
        <w:ind w:firstLine="0"/>
        <w:rPr>
          <w:b/>
        </w:rPr>
      </w:pPr>
      <w:r w:rsidRPr="00FD78A0">
        <w:rPr>
          <w:b/>
        </w:rPr>
        <w:t>Prevention of terrorism</w:t>
      </w:r>
    </w:p>
    <w:p w14:paraId="391FEB05" w14:textId="77777777" w:rsidR="00165D52" w:rsidRDefault="00165D52" w:rsidP="00165D52">
      <w:r>
        <w:t xml:space="preserve">The first step in making any plan is to look at the threats and find ways to prevent it from occurring. Terrorism is a multi-faceted act with no particular reason as to why perpetrators engage in it. Thus, in order to effectively counter it, the Saudi government has come up with a wide range of policies and programs that can help in preventing its spread. The Saudi government under the leadership of King Abdullah, set up counter terrorism centers and </w:t>
      </w:r>
      <w:r>
        <w:lastRenderedPageBreak/>
        <w:t xml:space="preserve">programs. These efforts were set up after the 2003 Riyadh bombings. Some of these programs include de-radicalization drives, rehabilitation of condemned terrorist and help them re-integrate back into the society. The government can also set up crack downs on secular leftist and Islamic movements. These movements include the Muslim brotherhood who have escaped from Egypt, Libya and Syria. </w:t>
      </w:r>
    </w:p>
    <w:p w14:paraId="1887FF7A" w14:textId="77777777" w:rsidR="00165D52" w:rsidRDefault="00165D52" w:rsidP="00165D52">
      <w:r>
        <w:t xml:space="preserve">In order for the world to embrace these counter terrorism measures they have to confirm to the set international best practices. The legal procedures when convicting one of terrorism offences should be transparent clear and fair. </w:t>
      </w:r>
      <w:proofErr w:type="gramStart"/>
      <w:r>
        <w:t>Also</w:t>
      </w:r>
      <w:proofErr w:type="gramEnd"/>
      <w:r>
        <w:t xml:space="preserve"> the use of torture methods like water boarding should not be used when seeking evidence. Evidence seeking should thus be fair and not subject the suspect to inhumane treatment which world powers have sought to abolish. The ministry of interior can set up anonymous toll-free numbers specially dedicated to reporting suspects. The anonymity is to ensure that people living in Riyadh do not </w:t>
      </w:r>
      <w:proofErr w:type="gramStart"/>
      <w:r>
        <w:t>live in</w:t>
      </w:r>
      <w:proofErr w:type="gramEnd"/>
      <w:r>
        <w:t xml:space="preserve"> distrust and hatred for each other in cases of false alarms.</w:t>
      </w:r>
    </w:p>
    <w:p w14:paraId="3460AAEF" w14:textId="77777777" w:rsidR="00165D52" w:rsidRPr="00FD78A0" w:rsidRDefault="00165D52" w:rsidP="00165D52">
      <w:pPr>
        <w:ind w:firstLine="0"/>
        <w:rPr>
          <w:b/>
        </w:rPr>
      </w:pPr>
      <w:r w:rsidRPr="00FD78A0">
        <w:rPr>
          <w:b/>
        </w:rPr>
        <w:t>Mitigation</w:t>
      </w:r>
    </w:p>
    <w:p w14:paraId="7B8A74D4" w14:textId="77777777" w:rsidR="00165D52" w:rsidRDefault="00165D52" w:rsidP="00165D52">
      <w:r>
        <w:t>The second phase is the mitigation phase which ensures that the terrorism threat does not pose serious challenges on the people’s way of life. These mitigation strategies include but not limited to:</w:t>
      </w:r>
    </w:p>
    <w:p w14:paraId="09B0D956" w14:textId="77777777" w:rsidR="00165D52" w:rsidRDefault="00165D52" w:rsidP="00165D52">
      <w:pPr>
        <w:pStyle w:val="ListParagraph"/>
        <w:numPr>
          <w:ilvl w:val="0"/>
          <w:numId w:val="18"/>
        </w:numPr>
      </w:pPr>
      <w:r>
        <w:t>Setting up checkpoints on cars entering public spaces like malls. The people can also be frisked using metal detectors to ensure that they are not carrying dangerous weapons.</w:t>
      </w:r>
    </w:p>
    <w:p w14:paraId="608E7682" w14:textId="77777777" w:rsidR="00165D52" w:rsidRDefault="00165D52" w:rsidP="00165D52">
      <w:pPr>
        <w:pStyle w:val="ListParagraph"/>
        <w:numPr>
          <w:ilvl w:val="0"/>
          <w:numId w:val="18"/>
        </w:numPr>
      </w:pPr>
      <w:r>
        <w:t>Setting up anti-breach barriers at government and military buildings. The military and government staff can also be advised to use bullet proof vehicles since they are the common target.</w:t>
      </w:r>
    </w:p>
    <w:p w14:paraId="546530E4" w14:textId="77777777" w:rsidR="00165D52" w:rsidRDefault="00165D52" w:rsidP="00165D52">
      <w:pPr>
        <w:pStyle w:val="ListParagraph"/>
        <w:numPr>
          <w:ilvl w:val="0"/>
          <w:numId w:val="18"/>
        </w:numPr>
      </w:pPr>
      <w:r>
        <w:lastRenderedPageBreak/>
        <w:t>The special response teams who respond to terrorist attacks should undergo constant training to sharpen their skills in dealing with hostage situations. The training can also include bomb ordinance procedures to disarm bombs targeting public places.</w:t>
      </w:r>
    </w:p>
    <w:p w14:paraId="49118899" w14:textId="77777777" w:rsidR="00165D52" w:rsidRPr="00FD78A0" w:rsidRDefault="00165D52" w:rsidP="00165D52">
      <w:r>
        <w:t>All these mitigation strategies will be effective if the ministry of interior will be at the forefront in implementing them. The ministry can support these steps by providing funding and outsourcing Special Forces from other counties to train the rapid response force. As for the legal aspect, some people object to having their vehicles searched, a government gazette notice can be issued requiring that all vehicles accessing public spaces are searched upon entering. An ethical dilemma can arise considering Saudi Arabia is a conservative society, therefore, male security guards should search male visitors to malls, while the female guards search their female counterparts.</w:t>
      </w:r>
    </w:p>
    <w:p w14:paraId="40B23364" w14:textId="77777777" w:rsidR="00165D52" w:rsidRPr="00FD78A0" w:rsidRDefault="00165D52" w:rsidP="00165D52">
      <w:pPr>
        <w:ind w:firstLine="0"/>
        <w:rPr>
          <w:b/>
        </w:rPr>
      </w:pPr>
      <w:r w:rsidRPr="00FD78A0">
        <w:rPr>
          <w:b/>
        </w:rPr>
        <w:t>Responses</w:t>
      </w:r>
    </w:p>
    <w:p w14:paraId="0F6A6D0E" w14:textId="77777777" w:rsidR="00165D52" w:rsidRDefault="00165D52" w:rsidP="00165D52">
      <w:r>
        <w:t xml:space="preserve">The third part of the plan is the response phase. The phase ensures that should these threats of terrorism targeting civilians occur during the Riyadh seasonal events, its effects do not cause serious ramifications on a </w:t>
      </w:r>
      <w:proofErr w:type="gramStart"/>
      <w:r>
        <w:t>people ways of lives</w:t>
      </w:r>
      <w:proofErr w:type="gramEnd"/>
      <w:r>
        <w:t xml:space="preserve">. Riyadh is a vulnerable city due to its large number of people making it an easier target for terrorists to target innocent civilians. </w:t>
      </w:r>
      <w:proofErr w:type="gramStart"/>
      <w:r>
        <w:t>Thus</w:t>
      </w:r>
      <w:proofErr w:type="gramEnd"/>
      <w:r>
        <w:t xml:space="preserve"> as a result of this, there should be a common response strategy to be followed in case of a terrorist attack. </w:t>
      </w:r>
      <w:r w:rsidRPr="00CF28E6">
        <w:t xml:space="preserve">The ministry of interior can set up a rapid response force within the city that will respond to terrorist attacks within the shortest time possible. The response team should include trained paramedics within the rapid response team to provide medical care to the casualties. An example, 9800 terrorist attacks that occurred in 2018 resulting in 22980 deaths. Some </w:t>
      </w:r>
      <w:r>
        <w:t>o</w:t>
      </w:r>
      <w:r w:rsidRPr="00CF28E6">
        <w:t xml:space="preserve">f these deaths could have been stopped had the </w:t>
      </w:r>
      <w:r>
        <w:t>response team sent a medic into the hot zone (</w:t>
      </w:r>
      <w:r w:rsidRPr="00236152">
        <w:t>Park</w:t>
      </w:r>
      <w:r>
        <w:t xml:space="preserve"> et al. 2020).  </w:t>
      </w:r>
    </w:p>
    <w:p w14:paraId="00E670E1" w14:textId="77777777" w:rsidR="00165D52" w:rsidRDefault="00165D52" w:rsidP="00165D52">
      <w:r>
        <w:lastRenderedPageBreak/>
        <w:t>Should stray bullets injure hostages during a takedown, the ministry of interior should organize a compensation scheme and help them in getting the required treatment. From the above plan, the ministry of interior can curb the threats of terrorism from disrupting the Riyadh Seasonal Event and ensure its success.</w:t>
      </w:r>
    </w:p>
    <w:p w14:paraId="23852375" w14:textId="77777777" w:rsidR="00165D52" w:rsidRDefault="00165D52" w:rsidP="00165D52"/>
    <w:p w14:paraId="45AE106D" w14:textId="77777777" w:rsidR="00165D52" w:rsidRDefault="00165D52" w:rsidP="00165D52"/>
    <w:p w14:paraId="41B91188" w14:textId="77777777" w:rsidR="00165D52" w:rsidRDefault="00165D52" w:rsidP="00165D52"/>
    <w:p w14:paraId="73E26E29" w14:textId="77777777" w:rsidR="00165D52" w:rsidRDefault="00165D52" w:rsidP="00165D52"/>
    <w:p w14:paraId="50A92057" w14:textId="77777777" w:rsidR="00165D52" w:rsidRDefault="00165D52" w:rsidP="00165D52"/>
    <w:p w14:paraId="034A96C8" w14:textId="77777777" w:rsidR="00165D52" w:rsidRDefault="00165D52" w:rsidP="00165D52"/>
    <w:p w14:paraId="5F871CB8" w14:textId="77777777" w:rsidR="00165D52" w:rsidRDefault="00165D52" w:rsidP="00165D52"/>
    <w:p w14:paraId="5D65A32C" w14:textId="77777777" w:rsidR="00165D52" w:rsidRDefault="00165D52" w:rsidP="00165D52"/>
    <w:p w14:paraId="1F31C825" w14:textId="77777777" w:rsidR="00165D52" w:rsidRDefault="00165D52" w:rsidP="00165D52"/>
    <w:p w14:paraId="53D80244" w14:textId="77777777" w:rsidR="00165D52" w:rsidRDefault="00165D52" w:rsidP="00165D52"/>
    <w:p w14:paraId="20DBC7D7" w14:textId="77777777" w:rsidR="00165D52" w:rsidRDefault="00165D52" w:rsidP="00165D52"/>
    <w:p w14:paraId="2A8E547B" w14:textId="77777777" w:rsidR="00165D52" w:rsidRDefault="00165D52" w:rsidP="00165D52"/>
    <w:p w14:paraId="314BB033" w14:textId="77777777" w:rsidR="00165D52" w:rsidRDefault="00165D52" w:rsidP="00165D52"/>
    <w:p w14:paraId="3FB3733D" w14:textId="77777777" w:rsidR="00165D52" w:rsidRDefault="00165D52" w:rsidP="00165D52"/>
    <w:p w14:paraId="6258B56A" w14:textId="77777777" w:rsidR="00165D52" w:rsidRDefault="00165D52" w:rsidP="00165D52"/>
    <w:p w14:paraId="00347D93" w14:textId="77777777" w:rsidR="00165D52" w:rsidRDefault="00165D52" w:rsidP="00165D52"/>
    <w:p w14:paraId="78C2309D" w14:textId="77777777" w:rsidR="00165D52" w:rsidRDefault="00165D52" w:rsidP="00165D52"/>
    <w:p w14:paraId="4CCFEA6D" w14:textId="77777777" w:rsidR="00165D52" w:rsidRDefault="00165D52" w:rsidP="00165D52"/>
    <w:p w14:paraId="5B2698CB" w14:textId="77777777" w:rsidR="000B1EA4" w:rsidRDefault="000B1EA4" w:rsidP="000B1EA4">
      <w:pPr>
        <w:ind w:firstLine="0"/>
      </w:pPr>
    </w:p>
    <w:p w14:paraId="2F47E0A3" w14:textId="17D17FF5" w:rsidR="00165D52" w:rsidRDefault="00165D52" w:rsidP="000B1EA4">
      <w:pPr>
        <w:ind w:firstLine="0"/>
      </w:pPr>
      <w:r>
        <w:lastRenderedPageBreak/>
        <w:t>References</w:t>
      </w:r>
    </w:p>
    <w:p w14:paraId="7381901F" w14:textId="0EDA65A0" w:rsidR="00165D52" w:rsidRDefault="00165D52" w:rsidP="000B1EA4">
      <w:pPr>
        <w:ind w:firstLine="0"/>
      </w:pPr>
      <w:r w:rsidRPr="00236152">
        <w:t>Arabia. </w:t>
      </w:r>
      <w:r w:rsidRPr="00236152">
        <w:rPr>
          <w:i/>
          <w:iCs/>
        </w:rPr>
        <w:t>Contemporary Review of the Middle East</w:t>
      </w:r>
      <w:r w:rsidRPr="00236152">
        <w:t>, 2347798920976286.</w:t>
      </w:r>
    </w:p>
    <w:p w14:paraId="5733B020" w14:textId="6B7955D5" w:rsidR="007366E2" w:rsidRDefault="00165D52" w:rsidP="000B1EA4">
      <w:pPr>
        <w:ind w:firstLine="0"/>
      </w:pPr>
      <w:r w:rsidRPr="00236152">
        <w:t xml:space="preserve">Park, C. L., Langlois, M., Smith, E. R., Pepper, M., Christian, M. D., Davies, G. E., &amp; Grier, G. </w:t>
      </w:r>
      <w:r>
        <w:tab/>
      </w:r>
      <w:r w:rsidRPr="00236152">
        <w:t>R. (2020). How to stop the dying</w:t>
      </w:r>
    </w:p>
    <w:p w14:paraId="28DEBAC0" w14:textId="70849CC1" w:rsidR="000B1EA4" w:rsidRDefault="000B1EA4" w:rsidP="000B1EA4">
      <w:pPr>
        <w:ind w:firstLine="0"/>
      </w:pPr>
      <w:proofErr w:type="spellStart"/>
      <w:r w:rsidRPr="00236152">
        <w:t>Qurtuby</w:t>
      </w:r>
      <w:proofErr w:type="spellEnd"/>
      <w:r w:rsidRPr="00236152">
        <w:t xml:space="preserve">, S. A., &amp; </w:t>
      </w:r>
      <w:proofErr w:type="spellStart"/>
      <w:r w:rsidRPr="00236152">
        <w:t>Aldamer</w:t>
      </w:r>
      <w:proofErr w:type="spellEnd"/>
      <w:r w:rsidRPr="00236152">
        <w:t>, S. (2020). Terrorism and Counterterrorism in Saudi</w:t>
      </w:r>
      <w:r>
        <w:t xml:space="preserve"> </w:t>
      </w:r>
    </w:p>
    <w:sectPr w:rsidR="000B1EA4" w:rsidSect="00AD656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A4AC0" w14:textId="77777777" w:rsidR="009E543A" w:rsidRDefault="009E543A" w:rsidP="00AD6564">
      <w:pPr>
        <w:spacing w:line="240" w:lineRule="auto"/>
      </w:pPr>
      <w:r>
        <w:separator/>
      </w:r>
    </w:p>
  </w:endnote>
  <w:endnote w:type="continuationSeparator" w:id="0">
    <w:p w14:paraId="00CBBB7B" w14:textId="77777777" w:rsidR="009E543A" w:rsidRDefault="009E543A" w:rsidP="00AD65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53171B" w14:textId="77777777" w:rsidR="009E543A" w:rsidRDefault="009E543A" w:rsidP="00AD6564">
      <w:pPr>
        <w:spacing w:line="240" w:lineRule="auto"/>
      </w:pPr>
      <w:r>
        <w:separator/>
      </w:r>
    </w:p>
  </w:footnote>
  <w:footnote w:type="continuationSeparator" w:id="0">
    <w:p w14:paraId="00D502BE" w14:textId="77777777" w:rsidR="009E543A" w:rsidRDefault="009E543A" w:rsidP="00AD65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B27C1" w14:textId="48AFB577" w:rsidR="00CE71E9" w:rsidRDefault="009E543A" w:rsidP="00FA525B">
    <w:pPr>
      <w:pStyle w:val="Header"/>
      <w:ind w:right="480" w:firstLine="0"/>
    </w:pPr>
    <w:sdt>
      <w:sdtPr>
        <w:id w:val="330189708"/>
        <w:docPartObj>
          <w:docPartGallery w:val="Page Numbers (Top of Page)"/>
          <w:docPartUnique/>
        </w:docPartObj>
      </w:sdtPr>
      <w:sdtEndPr>
        <w:rPr>
          <w:noProof/>
        </w:rPr>
      </w:sdtEndPr>
      <w:sdtContent>
        <w:r w:rsidR="00CE71E9">
          <w:t xml:space="preserve">                                                                                                               </w:t>
        </w:r>
        <w:r w:rsidR="00CE71E9">
          <w:tab/>
        </w:r>
        <w:r w:rsidR="00CE71E9">
          <w:fldChar w:fldCharType="begin"/>
        </w:r>
        <w:r w:rsidR="00CE71E9">
          <w:instrText xml:space="preserve"> PAGE   \* MERGEFORMAT </w:instrText>
        </w:r>
        <w:r w:rsidR="00CE71E9">
          <w:fldChar w:fldCharType="separate"/>
        </w:r>
        <w:r w:rsidR="00BB163C">
          <w:rPr>
            <w:noProof/>
          </w:rPr>
          <w:t>6</w:t>
        </w:r>
        <w:r w:rsidR="00CE71E9">
          <w:rPr>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18455" w14:textId="2BFD68DB" w:rsidR="00CE71E9" w:rsidRDefault="000B1EA4" w:rsidP="00FA525B">
    <w:pPr>
      <w:pStyle w:val="Header"/>
      <w:ind w:right="480" w:firstLine="0"/>
    </w:pPr>
    <w:r>
      <w:t xml:space="preserve">                                                                       </w:t>
    </w:r>
    <w:sdt>
      <w:sdtPr>
        <w:id w:val="93976468"/>
        <w:docPartObj>
          <w:docPartGallery w:val="Page Numbers (Top of Page)"/>
          <w:docPartUnique/>
        </w:docPartObj>
      </w:sdtPr>
      <w:sdtEndPr>
        <w:rPr>
          <w:noProof/>
        </w:rPr>
      </w:sdtEndPr>
      <w:sdtContent>
        <w:r w:rsidR="00CE71E9">
          <w:t xml:space="preserve">                                                                           </w:t>
        </w:r>
        <w:r w:rsidR="00CE71E9">
          <w:fldChar w:fldCharType="begin"/>
        </w:r>
        <w:r w:rsidR="00CE71E9">
          <w:instrText xml:space="preserve"> PAGE   \* MERGEFORMAT </w:instrText>
        </w:r>
        <w:r w:rsidR="00CE71E9">
          <w:fldChar w:fldCharType="separate"/>
        </w:r>
        <w:r w:rsidR="00165D52">
          <w:rPr>
            <w:noProof/>
          </w:rPr>
          <w:t>1</w:t>
        </w:r>
        <w:r w:rsidR="00CE71E9">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0688C"/>
    <w:multiLevelType w:val="hybridMultilevel"/>
    <w:tmpl w:val="FFAC2F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65E5E"/>
    <w:multiLevelType w:val="hybridMultilevel"/>
    <w:tmpl w:val="176863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43FA7"/>
    <w:multiLevelType w:val="hybridMultilevel"/>
    <w:tmpl w:val="61E4BE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178E9"/>
    <w:multiLevelType w:val="hybridMultilevel"/>
    <w:tmpl w:val="BB6A4D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064DC4"/>
    <w:multiLevelType w:val="hybridMultilevel"/>
    <w:tmpl w:val="4E9C38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85ECB"/>
    <w:multiLevelType w:val="hybridMultilevel"/>
    <w:tmpl w:val="C1322E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5F6AF3"/>
    <w:multiLevelType w:val="hybridMultilevel"/>
    <w:tmpl w:val="6284C48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B877401"/>
    <w:multiLevelType w:val="hybridMultilevel"/>
    <w:tmpl w:val="65E0D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F84CEC"/>
    <w:multiLevelType w:val="hybridMultilevel"/>
    <w:tmpl w:val="B7C8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876D89"/>
    <w:multiLevelType w:val="hybridMultilevel"/>
    <w:tmpl w:val="03DA3B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F362CD"/>
    <w:multiLevelType w:val="hybridMultilevel"/>
    <w:tmpl w:val="9B5A61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D47CEC"/>
    <w:multiLevelType w:val="hybridMultilevel"/>
    <w:tmpl w:val="A0C29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B8C5C22"/>
    <w:multiLevelType w:val="hybridMultilevel"/>
    <w:tmpl w:val="8F74D0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3D262E"/>
    <w:multiLevelType w:val="hybridMultilevel"/>
    <w:tmpl w:val="CC184E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E735A5"/>
    <w:multiLevelType w:val="hybridMultilevel"/>
    <w:tmpl w:val="97F86B7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2101289"/>
    <w:multiLevelType w:val="hybridMultilevel"/>
    <w:tmpl w:val="2D268010"/>
    <w:lvl w:ilvl="0" w:tplc="F2426E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973301"/>
    <w:multiLevelType w:val="hybridMultilevel"/>
    <w:tmpl w:val="F9EEBA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A612F0"/>
    <w:multiLevelType w:val="hybridMultilevel"/>
    <w:tmpl w:val="689C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3"/>
  </w:num>
  <w:num w:numId="4">
    <w:abstractNumId w:val="9"/>
  </w:num>
  <w:num w:numId="5">
    <w:abstractNumId w:val="3"/>
  </w:num>
  <w:num w:numId="6">
    <w:abstractNumId w:val="0"/>
  </w:num>
  <w:num w:numId="7">
    <w:abstractNumId w:val="16"/>
  </w:num>
  <w:num w:numId="8">
    <w:abstractNumId w:val="4"/>
  </w:num>
  <w:num w:numId="9">
    <w:abstractNumId w:val="14"/>
  </w:num>
  <w:num w:numId="10">
    <w:abstractNumId w:val="10"/>
  </w:num>
  <w:num w:numId="11">
    <w:abstractNumId w:val="5"/>
  </w:num>
  <w:num w:numId="12">
    <w:abstractNumId w:val="11"/>
  </w:num>
  <w:num w:numId="13">
    <w:abstractNumId w:val="6"/>
  </w:num>
  <w:num w:numId="14">
    <w:abstractNumId w:val="12"/>
  </w:num>
  <w:num w:numId="15">
    <w:abstractNumId w:val="1"/>
  </w:num>
  <w:num w:numId="16">
    <w:abstractNumId w:val="2"/>
  </w:num>
  <w:num w:numId="17">
    <w:abstractNumId w:val="1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3tDAzMTE3MzQ2MDVR0lEKTi0uzszPAykwNKkFAHnhWJAtAAAA"/>
  </w:docVars>
  <w:rsids>
    <w:rsidRoot w:val="00E0098A"/>
    <w:rsid w:val="000111B4"/>
    <w:rsid w:val="00011C97"/>
    <w:rsid w:val="00017660"/>
    <w:rsid w:val="0004327C"/>
    <w:rsid w:val="00087E6F"/>
    <w:rsid w:val="00094ED0"/>
    <w:rsid w:val="000A235B"/>
    <w:rsid w:val="000A270C"/>
    <w:rsid w:val="000A4AE0"/>
    <w:rsid w:val="000B1EA4"/>
    <w:rsid w:val="000B765A"/>
    <w:rsid w:val="000C0F82"/>
    <w:rsid w:val="000C62C8"/>
    <w:rsid w:val="000E0479"/>
    <w:rsid w:val="000E507E"/>
    <w:rsid w:val="000E56A0"/>
    <w:rsid w:val="000F6F59"/>
    <w:rsid w:val="00102276"/>
    <w:rsid w:val="00102E49"/>
    <w:rsid w:val="00110106"/>
    <w:rsid w:val="00111DF6"/>
    <w:rsid w:val="00116286"/>
    <w:rsid w:val="001259A2"/>
    <w:rsid w:val="001454E1"/>
    <w:rsid w:val="0014601D"/>
    <w:rsid w:val="00151DB7"/>
    <w:rsid w:val="001552F2"/>
    <w:rsid w:val="00165D52"/>
    <w:rsid w:val="00167293"/>
    <w:rsid w:val="001A35A6"/>
    <w:rsid w:val="001B0C56"/>
    <w:rsid w:val="001F5945"/>
    <w:rsid w:val="00221EF6"/>
    <w:rsid w:val="00231D4A"/>
    <w:rsid w:val="00234512"/>
    <w:rsid w:val="002372B7"/>
    <w:rsid w:val="00240F0B"/>
    <w:rsid w:val="00250F28"/>
    <w:rsid w:val="00270E09"/>
    <w:rsid w:val="00270EBB"/>
    <w:rsid w:val="00274288"/>
    <w:rsid w:val="00274349"/>
    <w:rsid w:val="002A597A"/>
    <w:rsid w:val="002C49F3"/>
    <w:rsid w:val="002D1A82"/>
    <w:rsid w:val="002E3122"/>
    <w:rsid w:val="00304A61"/>
    <w:rsid w:val="003140EE"/>
    <w:rsid w:val="0031749C"/>
    <w:rsid w:val="00320346"/>
    <w:rsid w:val="0032184D"/>
    <w:rsid w:val="0032376F"/>
    <w:rsid w:val="00335FD5"/>
    <w:rsid w:val="003577A8"/>
    <w:rsid w:val="00373D98"/>
    <w:rsid w:val="0038049E"/>
    <w:rsid w:val="00387BC6"/>
    <w:rsid w:val="00391954"/>
    <w:rsid w:val="003B496C"/>
    <w:rsid w:val="003B65DC"/>
    <w:rsid w:val="003D6095"/>
    <w:rsid w:val="003E72CB"/>
    <w:rsid w:val="0040078E"/>
    <w:rsid w:val="004314A8"/>
    <w:rsid w:val="004320E5"/>
    <w:rsid w:val="00471E4D"/>
    <w:rsid w:val="0047300A"/>
    <w:rsid w:val="00487E5D"/>
    <w:rsid w:val="004D6C19"/>
    <w:rsid w:val="004E1A49"/>
    <w:rsid w:val="004E325C"/>
    <w:rsid w:val="004E41B9"/>
    <w:rsid w:val="004E73BB"/>
    <w:rsid w:val="005265B3"/>
    <w:rsid w:val="00531889"/>
    <w:rsid w:val="00532922"/>
    <w:rsid w:val="005357A5"/>
    <w:rsid w:val="0054123D"/>
    <w:rsid w:val="00541D5F"/>
    <w:rsid w:val="005465FB"/>
    <w:rsid w:val="00550BF8"/>
    <w:rsid w:val="005546FC"/>
    <w:rsid w:val="00563721"/>
    <w:rsid w:val="00564628"/>
    <w:rsid w:val="00575C2F"/>
    <w:rsid w:val="005849F3"/>
    <w:rsid w:val="005A68DD"/>
    <w:rsid w:val="005B3710"/>
    <w:rsid w:val="005C155B"/>
    <w:rsid w:val="005D70AB"/>
    <w:rsid w:val="005F1D55"/>
    <w:rsid w:val="00630D17"/>
    <w:rsid w:val="006345AB"/>
    <w:rsid w:val="00656EA8"/>
    <w:rsid w:val="006673FC"/>
    <w:rsid w:val="0069079D"/>
    <w:rsid w:val="006A03CF"/>
    <w:rsid w:val="006A0A9D"/>
    <w:rsid w:val="006B10F8"/>
    <w:rsid w:val="006C54F4"/>
    <w:rsid w:val="006D332B"/>
    <w:rsid w:val="006F124A"/>
    <w:rsid w:val="007033A6"/>
    <w:rsid w:val="0072420B"/>
    <w:rsid w:val="00727380"/>
    <w:rsid w:val="007278DA"/>
    <w:rsid w:val="007366E2"/>
    <w:rsid w:val="0074207A"/>
    <w:rsid w:val="00743477"/>
    <w:rsid w:val="00745743"/>
    <w:rsid w:val="00774C50"/>
    <w:rsid w:val="007768AB"/>
    <w:rsid w:val="00777948"/>
    <w:rsid w:val="00784848"/>
    <w:rsid w:val="00791563"/>
    <w:rsid w:val="007A1B90"/>
    <w:rsid w:val="007D1722"/>
    <w:rsid w:val="007D50BB"/>
    <w:rsid w:val="007F39A0"/>
    <w:rsid w:val="0080194C"/>
    <w:rsid w:val="0080300A"/>
    <w:rsid w:val="00814A39"/>
    <w:rsid w:val="00814FC3"/>
    <w:rsid w:val="00825D79"/>
    <w:rsid w:val="008303A6"/>
    <w:rsid w:val="0083270E"/>
    <w:rsid w:val="00833E8A"/>
    <w:rsid w:val="0084159C"/>
    <w:rsid w:val="00841C87"/>
    <w:rsid w:val="00841F17"/>
    <w:rsid w:val="0085448F"/>
    <w:rsid w:val="00861343"/>
    <w:rsid w:val="0086450C"/>
    <w:rsid w:val="0087006F"/>
    <w:rsid w:val="00877703"/>
    <w:rsid w:val="008834AC"/>
    <w:rsid w:val="008C49C8"/>
    <w:rsid w:val="008D0508"/>
    <w:rsid w:val="008F5595"/>
    <w:rsid w:val="008F5CD5"/>
    <w:rsid w:val="009040BB"/>
    <w:rsid w:val="009355C8"/>
    <w:rsid w:val="00972FA4"/>
    <w:rsid w:val="00982605"/>
    <w:rsid w:val="00994643"/>
    <w:rsid w:val="009B2BCD"/>
    <w:rsid w:val="009D3F9E"/>
    <w:rsid w:val="009E02EA"/>
    <w:rsid w:val="009E543A"/>
    <w:rsid w:val="009F61A4"/>
    <w:rsid w:val="00A04C38"/>
    <w:rsid w:val="00A05FFF"/>
    <w:rsid w:val="00A118DF"/>
    <w:rsid w:val="00A338C8"/>
    <w:rsid w:val="00A34F12"/>
    <w:rsid w:val="00A360C8"/>
    <w:rsid w:val="00A4338D"/>
    <w:rsid w:val="00A560FB"/>
    <w:rsid w:val="00A60DF1"/>
    <w:rsid w:val="00A66B2E"/>
    <w:rsid w:val="00A87FEA"/>
    <w:rsid w:val="00AC0C29"/>
    <w:rsid w:val="00AC3611"/>
    <w:rsid w:val="00AD6564"/>
    <w:rsid w:val="00AE629A"/>
    <w:rsid w:val="00AE6EBE"/>
    <w:rsid w:val="00B02173"/>
    <w:rsid w:val="00B04F44"/>
    <w:rsid w:val="00B149B9"/>
    <w:rsid w:val="00B15AE9"/>
    <w:rsid w:val="00B433C2"/>
    <w:rsid w:val="00B55427"/>
    <w:rsid w:val="00B749C1"/>
    <w:rsid w:val="00BB0DD5"/>
    <w:rsid w:val="00BB163C"/>
    <w:rsid w:val="00BD71AF"/>
    <w:rsid w:val="00BF39BA"/>
    <w:rsid w:val="00C16FD5"/>
    <w:rsid w:val="00C2222C"/>
    <w:rsid w:val="00C25318"/>
    <w:rsid w:val="00C30219"/>
    <w:rsid w:val="00C378CD"/>
    <w:rsid w:val="00C45F62"/>
    <w:rsid w:val="00C726AC"/>
    <w:rsid w:val="00C7686C"/>
    <w:rsid w:val="00C84750"/>
    <w:rsid w:val="00CB3409"/>
    <w:rsid w:val="00CD24C1"/>
    <w:rsid w:val="00CD504F"/>
    <w:rsid w:val="00CE71E9"/>
    <w:rsid w:val="00CE7FA8"/>
    <w:rsid w:val="00CF05BC"/>
    <w:rsid w:val="00CF0725"/>
    <w:rsid w:val="00CF0CB6"/>
    <w:rsid w:val="00CF66A2"/>
    <w:rsid w:val="00D034D1"/>
    <w:rsid w:val="00D07FD3"/>
    <w:rsid w:val="00D20CFC"/>
    <w:rsid w:val="00D3515B"/>
    <w:rsid w:val="00D37964"/>
    <w:rsid w:val="00D4507D"/>
    <w:rsid w:val="00D54245"/>
    <w:rsid w:val="00D637EA"/>
    <w:rsid w:val="00D63AD8"/>
    <w:rsid w:val="00DA22E6"/>
    <w:rsid w:val="00DA6F81"/>
    <w:rsid w:val="00DA74EF"/>
    <w:rsid w:val="00DC1600"/>
    <w:rsid w:val="00DC162A"/>
    <w:rsid w:val="00DC730F"/>
    <w:rsid w:val="00DF132B"/>
    <w:rsid w:val="00DF4248"/>
    <w:rsid w:val="00E0098A"/>
    <w:rsid w:val="00E07377"/>
    <w:rsid w:val="00E17752"/>
    <w:rsid w:val="00E20649"/>
    <w:rsid w:val="00E24AB2"/>
    <w:rsid w:val="00E33B5A"/>
    <w:rsid w:val="00E35FCD"/>
    <w:rsid w:val="00E410CE"/>
    <w:rsid w:val="00E43144"/>
    <w:rsid w:val="00E432C6"/>
    <w:rsid w:val="00E60189"/>
    <w:rsid w:val="00E677B1"/>
    <w:rsid w:val="00E706CC"/>
    <w:rsid w:val="00E71BF5"/>
    <w:rsid w:val="00E73410"/>
    <w:rsid w:val="00E909F9"/>
    <w:rsid w:val="00E94519"/>
    <w:rsid w:val="00E96888"/>
    <w:rsid w:val="00EA09FC"/>
    <w:rsid w:val="00ED4445"/>
    <w:rsid w:val="00ED4B51"/>
    <w:rsid w:val="00EF407B"/>
    <w:rsid w:val="00EF5606"/>
    <w:rsid w:val="00F00360"/>
    <w:rsid w:val="00F062B0"/>
    <w:rsid w:val="00F25BCF"/>
    <w:rsid w:val="00F305EB"/>
    <w:rsid w:val="00F32DE8"/>
    <w:rsid w:val="00F41F08"/>
    <w:rsid w:val="00F47216"/>
    <w:rsid w:val="00F53BC5"/>
    <w:rsid w:val="00F5772F"/>
    <w:rsid w:val="00F821D6"/>
    <w:rsid w:val="00F84617"/>
    <w:rsid w:val="00F84F7C"/>
    <w:rsid w:val="00F87BB8"/>
    <w:rsid w:val="00F93178"/>
    <w:rsid w:val="00FA525B"/>
    <w:rsid w:val="00FA74E5"/>
    <w:rsid w:val="00FC393D"/>
    <w:rsid w:val="00FC59AE"/>
    <w:rsid w:val="00FC6772"/>
    <w:rsid w:val="00FE1F36"/>
    <w:rsid w:val="00FE6BD5"/>
    <w:rsid w:val="00FF6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4135A"/>
  <w15:docId w15:val="{7E102BA9-5074-463D-BD61-D6FAD595D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770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564"/>
    <w:pPr>
      <w:tabs>
        <w:tab w:val="center" w:pos="4680"/>
        <w:tab w:val="right" w:pos="9360"/>
      </w:tabs>
      <w:spacing w:line="240" w:lineRule="auto"/>
    </w:pPr>
  </w:style>
  <w:style w:type="character" w:customStyle="1" w:styleId="HeaderChar">
    <w:name w:val="Header Char"/>
    <w:basedOn w:val="DefaultParagraphFont"/>
    <w:link w:val="Header"/>
    <w:uiPriority w:val="99"/>
    <w:rsid w:val="00AD6564"/>
  </w:style>
  <w:style w:type="paragraph" w:styleId="Footer">
    <w:name w:val="footer"/>
    <w:basedOn w:val="Normal"/>
    <w:link w:val="FooterChar"/>
    <w:uiPriority w:val="99"/>
    <w:unhideWhenUsed/>
    <w:rsid w:val="00AD6564"/>
    <w:pPr>
      <w:tabs>
        <w:tab w:val="center" w:pos="4680"/>
        <w:tab w:val="right" w:pos="9360"/>
      </w:tabs>
      <w:spacing w:line="240" w:lineRule="auto"/>
    </w:pPr>
  </w:style>
  <w:style w:type="character" w:customStyle="1" w:styleId="FooterChar">
    <w:name w:val="Footer Char"/>
    <w:basedOn w:val="DefaultParagraphFont"/>
    <w:link w:val="Footer"/>
    <w:uiPriority w:val="99"/>
    <w:rsid w:val="00AD6564"/>
  </w:style>
  <w:style w:type="paragraph" w:styleId="ListParagraph">
    <w:name w:val="List Paragraph"/>
    <w:basedOn w:val="Normal"/>
    <w:uiPriority w:val="34"/>
    <w:qFormat/>
    <w:rsid w:val="00B04F44"/>
    <w:pPr>
      <w:ind w:left="720"/>
      <w:contextualSpacing/>
    </w:pPr>
  </w:style>
  <w:style w:type="character" w:styleId="Hyperlink">
    <w:name w:val="Hyperlink"/>
    <w:basedOn w:val="DefaultParagraphFont"/>
    <w:uiPriority w:val="99"/>
    <w:unhideWhenUsed/>
    <w:rsid w:val="001F5945"/>
    <w:rPr>
      <w:color w:val="0000FF"/>
      <w:u w:val="single"/>
    </w:rPr>
  </w:style>
  <w:style w:type="character" w:customStyle="1" w:styleId="UnresolvedMention1">
    <w:name w:val="Unresolved Mention1"/>
    <w:basedOn w:val="DefaultParagraphFont"/>
    <w:uiPriority w:val="99"/>
    <w:semiHidden/>
    <w:unhideWhenUsed/>
    <w:rsid w:val="001F5945"/>
    <w:rPr>
      <w:color w:val="605E5C"/>
      <w:shd w:val="clear" w:color="auto" w:fill="E1DFDD"/>
    </w:rPr>
  </w:style>
  <w:style w:type="character" w:customStyle="1" w:styleId="Heading1Char">
    <w:name w:val="Heading 1 Char"/>
    <w:basedOn w:val="DefaultParagraphFont"/>
    <w:link w:val="Heading1"/>
    <w:uiPriority w:val="9"/>
    <w:rsid w:val="00877703"/>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D6C1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C19"/>
    <w:rPr>
      <w:rFonts w:ascii="Tahoma" w:hAnsi="Tahoma" w:cs="Tahoma"/>
      <w:sz w:val="16"/>
      <w:szCs w:val="16"/>
    </w:rPr>
  </w:style>
  <w:style w:type="character" w:customStyle="1" w:styleId="UnresolvedMention2">
    <w:name w:val="Unresolved Mention2"/>
    <w:basedOn w:val="DefaultParagraphFont"/>
    <w:uiPriority w:val="99"/>
    <w:semiHidden/>
    <w:unhideWhenUsed/>
    <w:rsid w:val="00102276"/>
    <w:rPr>
      <w:color w:val="605E5C"/>
      <w:shd w:val="clear" w:color="auto" w:fill="E1DFDD"/>
    </w:rPr>
  </w:style>
  <w:style w:type="paragraph" w:styleId="NoSpacing">
    <w:name w:val="No Spacing"/>
    <w:uiPriority w:val="1"/>
    <w:qFormat/>
    <w:rsid w:val="00B149B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41528">
      <w:bodyDiv w:val="1"/>
      <w:marLeft w:val="0"/>
      <w:marRight w:val="0"/>
      <w:marTop w:val="0"/>
      <w:marBottom w:val="0"/>
      <w:divBdr>
        <w:top w:val="none" w:sz="0" w:space="0" w:color="auto"/>
        <w:left w:val="none" w:sz="0" w:space="0" w:color="auto"/>
        <w:bottom w:val="none" w:sz="0" w:space="0" w:color="auto"/>
        <w:right w:val="none" w:sz="0" w:space="0" w:color="auto"/>
      </w:divBdr>
    </w:div>
    <w:div w:id="304353246">
      <w:bodyDiv w:val="1"/>
      <w:marLeft w:val="0"/>
      <w:marRight w:val="0"/>
      <w:marTop w:val="0"/>
      <w:marBottom w:val="0"/>
      <w:divBdr>
        <w:top w:val="none" w:sz="0" w:space="0" w:color="auto"/>
        <w:left w:val="none" w:sz="0" w:space="0" w:color="auto"/>
        <w:bottom w:val="none" w:sz="0" w:space="0" w:color="auto"/>
        <w:right w:val="none" w:sz="0" w:space="0" w:color="auto"/>
      </w:divBdr>
    </w:div>
    <w:div w:id="432364352">
      <w:bodyDiv w:val="1"/>
      <w:marLeft w:val="0"/>
      <w:marRight w:val="0"/>
      <w:marTop w:val="0"/>
      <w:marBottom w:val="0"/>
      <w:divBdr>
        <w:top w:val="none" w:sz="0" w:space="0" w:color="auto"/>
        <w:left w:val="none" w:sz="0" w:space="0" w:color="auto"/>
        <w:bottom w:val="none" w:sz="0" w:space="0" w:color="auto"/>
        <w:right w:val="none" w:sz="0" w:space="0" w:color="auto"/>
      </w:divBdr>
      <w:divsChild>
        <w:div w:id="1547327352">
          <w:marLeft w:val="0"/>
          <w:marRight w:val="0"/>
          <w:marTop w:val="0"/>
          <w:marBottom w:val="0"/>
          <w:divBdr>
            <w:top w:val="none" w:sz="0" w:space="0" w:color="auto"/>
            <w:left w:val="none" w:sz="0" w:space="0" w:color="auto"/>
            <w:bottom w:val="none" w:sz="0" w:space="0" w:color="auto"/>
            <w:right w:val="none" w:sz="0" w:space="0" w:color="auto"/>
          </w:divBdr>
        </w:div>
        <w:div w:id="796871959">
          <w:marLeft w:val="0"/>
          <w:marRight w:val="0"/>
          <w:marTop w:val="0"/>
          <w:marBottom w:val="0"/>
          <w:divBdr>
            <w:top w:val="none" w:sz="0" w:space="0" w:color="auto"/>
            <w:left w:val="none" w:sz="0" w:space="0" w:color="auto"/>
            <w:bottom w:val="none" w:sz="0" w:space="0" w:color="auto"/>
            <w:right w:val="none" w:sz="0" w:space="0" w:color="auto"/>
          </w:divBdr>
        </w:div>
      </w:divsChild>
    </w:div>
    <w:div w:id="503591365">
      <w:bodyDiv w:val="1"/>
      <w:marLeft w:val="0"/>
      <w:marRight w:val="0"/>
      <w:marTop w:val="0"/>
      <w:marBottom w:val="0"/>
      <w:divBdr>
        <w:top w:val="none" w:sz="0" w:space="0" w:color="auto"/>
        <w:left w:val="none" w:sz="0" w:space="0" w:color="auto"/>
        <w:bottom w:val="none" w:sz="0" w:space="0" w:color="auto"/>
        <w:right w:val="none" w:sz="0" w:space="0" w:color="auto"/>
      </w:divBdr>
    </w:div>
    <w:div w:id="648942181">
      <w:bodyDiv w:val="1"/>
      <w:marLeft w:val="0"/>
      <w:marRight w:val="0"/>
      <w:marTop w:val="0"/>
      <w:marBottom w:val="0"/>
      <w:divBdr>
        <w:top w:val="none" w:sz="0" w:space="0" w:color="auto"/>
        <w:left w:val="none" w:sz="0" w:space="0" w:color="auto"/>
        <w:bottom w:val="none" w:sz="0" w:space="0" w:color="auto"/>
        <w:right w:val="none" w:sz="0" w:space="0" w:color="auto"/>
      </w:divBdr>
      <w:divsChild>
        <w:div w:id="1560746572">
          <w:marLeft w:val="0"/>
          <w:marRight w:val="0"/>
          <w:marTop w:val="0"/>
          <w:marBottom w:val="0"/>
          <w:divBdr>
            <w:top w:val="none" w:sz="0" w:space="0" w:color="auto"/>
            <w:left w:val="none" w:sz="0" w:space="0" w:color="auto"/>
            <w:bottom w:val="none" w:sz="0" w:space="0" w:color="auto"/>
            <w:right w:val="none" w:sz="0" w:space="0" w:color="auto"/>
          </w:divBdr>
        </w:div>
        <w:div w:id="1525628680">
          <w:marLeft w:val="0"/>
          <w:marRight w:val="0"/>
          <w:marTop w:val="0"/>
          <w:marBottom w:val="0"/>
          <w:divBdr>
            <w:top w:val="none" w:sz="0" w:space="0" w:color="auto"/>
            <w:left w:val="none" w:sz="0" w:space="0" w:color="auto"/>
            <w:bottom w:val="none" w:sz="0" w:space="0" w:color="auto"/>
            <w:right w:val="none" w:sz="0" w:space="0" w:color="auto"/>
          </w:divBdr>
        </w:div>
      </w:divsChild>
    </w:div>
    <w:div w:id="1095639092">
      <w:bodyDiv w:val="1"/>
      <w:marLeft w:val="0"/>
      <w:marRight w:val="0"/>
      <w:marTop w:val="0"/>
      <w:marBottom w:val="0"/>
      <w:divBdr>
        <w:top w:val="none" w:sz="0" w:space="0" w:color="auto"/>
        <w:left w:val="none" w:sz="0" w:space="0" w:color="auto"/>
        <w:bottom w:val="none" w:sz="0" w:space="0" w:color="auto"/>
        <w:right w:val="none" w:sz="0" w:space="0" w:color="auto"/>
      </w:divBdr>
    </w:div>
    <w:div w:id="1494756813">
      <w:bodyDiv w:val="1"/>
      <w:marLeft w:val="0"/>
      <w:marRight w:val="0"/>
      <w:marTop w:val="0"/>
      <w:marBottom w:val="0"/>
      <w:divBdr>
        <w:top w:val="none" w:sz="0" w:space="0" w:color="auto"/>
        <w:left w:val="none" w:sz="0" w:space="0" w:color="auto"/>
        <w:bottom w:val="none" w:sz="0" w:space="0" w:color="auto"/>
        <w:right w:val="none" w:sz="0" w:space="0" w:color="auto"/>
      </w:divBdr>
      <w:divsChild>
        <w:div w:id="36205516">
          <w:marLeft w:val="0"/>
          <w:marRight w:val="0"/>
          <w:marTop w:val="0"/>
          <w:marBottom w:val="0"/>
          <w:divBdr>
            <w:top w:val="none" w:sz="0" w:space="0" w:color="auto"/>
            <w:left w:val="none" w:sz="0" w:space="0" w:color="auto"/>
            <w:bottom w:val="none" w:sz="0" w:space="0" w:color="auto"/>
            <w:right w:val="none" w:sz="0" w:space="0" w:color="auto"/>
          </w:divBdr>
        </w:div>
        <w:div w:id="3627637">
          <w:marLeft w:val="0"/>
          <w:marRight w:val="0"/>
          <w:marTop w:val="0"/>
          <w:marBottom w:val="0"/>
          <w:divBdr>
            <w:top w:val="none" w:sz="0" w:space="0" w:color="auto"/>
            <w:left w:val="none" w:sz="0" w:space="0" w:color="auto"/>
            <w:bottom w:val="none" w:sz="0" w:space="0" w:color="auto"/>
            <w:right w:val="none" w:sz="0" w:space="0" w:color="auto"/>
          </w:divBdr>
        </w:div>
      </w:divsChild>
    </w:div>
    <w:div w:id="1932811567">
      <w:bodyDiv w:val="1"/>
      <w:marLeft w:val="0"/>
      <w:marRight w:val="0"/>
      <w:marTop w:val="0"/>
      <w:marBottom w:val="0"/>
      <w:divBdr>
        <w:top w:val="none" w:sz="0" w:space="0" w:color="auto"/>
        <w:left w:val="none" w:sz="0" w:space="0" w:color="auto"/>
        <w:bottom w:val="none" w:sz="0" w:space="0" w:color="auto"/>
        <w:right w:val="none" w:sz="0" w:space="0" w:color="auto"/>
      </w:divBdr>
      <w:divsChild>
        <w:div w:id="34740791">
          <w:marLeft w:val="0"/>
          <w:marRight w:val="0"/>
          <w:marTop w:val="0"/>
          <w:marBottom w:val="0"/>
          <w:divBdr>
            <w:top w:val="none" w:sz="0" w:space="0" w:color="auto"/>
            <w:left w:val="none" w:sz="0" w:space="0" w:color="auto"/>
            <w:bottom w:val="none" w:sz="0" w:space="0" w:color="auto"/>
            <w:right w:val="none" w:sz="0" w:space="0" w:color="auto"/>
          </w:divBdr>
        </w:div>
        <w:div w:id="1033531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D62F4-663A-4661-97A1-957C7863B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896</Words>
  <Characters>5111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c:creator>
  <cp:keywords/>
  <dc:description/>
  <cp:lastModifiedBy>Nenadov Nada</cp:lastModifiedBy>
  <cp:revision>2</cp:revision>
  <dcterms:created xsi:type="dcterms:W3CDTF">2021-03-31T14:40:00Z</dcterms:created>
  <dcterms:modified xsi:type="dcterms:W3CDTF">2021-03-31T14:40:00Z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1be13455-6591-38ce-912a-d046965b03f7</vt:lpwstr>
  </property>
  <property fmtid="{D5CDD505-2E9C-101B-9397-08002B2CF9AE}" pid="24" name="Mendeley Citation Style_1">
    <vt:lpwstr>http://www.zotero.org/styles/apa</vt:lpwstr>
  </property>
</Properties>
</file>